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2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5"/>
      </w:tblGrid>
      <w:tr w:rsidR="00181209" w:rsidRPr="00181209" w:rsidTr="00181209">
        <w:trPr>
          <w:trHeight w:val="876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:rsidR="00181209" w:rsidRPr="00181209" w:rsidRDefault="00181209">
            <w:pPr>
              <w:pStyle w:val="TableParagraph"/>
              <w:spacing w:before="7"/>
              <w:ind w:left="0"/>
              <w:rPr>
                <w:rFonts w:ascii="Times New Roman"/>
                <w:sz w:val="32"/>
              </w:rPr>
            </w:pPr>
          </w:p>
          <w:p w:rsidR="00181209" w:rsidRPr="00181209" w:rsidRDefault="00181209">
            <w:pPr>
              <w:pStyle w:val="TableParagraph"/>
              <w:spacing w:before="0"/>
              <w:ind w:left="319"/>
              <w:rPr>
                <w:rFonts w:ascii="Times New Roman"/>
                <w:sz w:val="32"/>
              </w:rPr>
            </w:pPr>
            <w:r w:rsidRPr="00181209">
              <w:rPr>
                <w:rFonts w:ascii="Times New Roman"/>
                <w:noProof/>
                <w:sz w:val="32"/>
                <w:lang w:eastAsia="de-DE"/>
              </w:rPr>
              <w:drawing>
                <wp:inline distT="0" distB="0" distL="0" distR="0" wp14:anchorId="55EBA62E" wp14:editId="4C53249A">
                  <wp:extent cx="2189496" cy="707366"/>
                  <wp:effectExtent l="0" t="0" r="1270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Logo-Veitsho╠êchheim_rgb-k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025" cy="797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209" w:rsidRDefault="00181209" w:rsidP="00992638">
      <w:pPr>
        <w:tabs>
          <w:tab w:val="left" w:pos="530"/>
        </w:tabs>
        <w:spacing w:line="237" w:lineRule="auto"/>
      </w:pPr>
    </w:p>
    <w:p w:rsidR="00181209" w:rsidRDefault="00181209" w:rsidP="00992638">
      <w:pPr>
        <w:tabs>
          <w:tab w:val="left" w:pos="530"/>
        </w:tabs>
        <w:spacing w:line="237" w:lineRule="auto"/>
      </w:pPr>
    </w:p>
    <w:p w:rsidR="00181209" w:rsidRPr="00181209" w:rsidRDefault="00181209" w:rsidP="00181209">
      <w:pPr>
        <w:rPr>
          <w:rFonts w:ascii="Fira Sans Condensed Light" w:hAnsi="Fira Sans Condensed Light"/>
          <w:b/>
          <w:sz w:val="24"/>
          <w:szCs w:val="24"/>
        </w:rPr>
      </w:pPr>
      <w:r w:rsidRPr="00181209">
        <w:rPr>
          <w:rFonts w:ascii="Fira Sans Condensed Light" w:hAnsi="Fira Sans Condensed Light"/>
          <w:b/>
          <w:sz w:val="24"/>
          <w:szCs w:val="24"/>
        </w:rPr>
        <w:t>Vergaberichtlinien für die 16 gemeindlichen Wohnungen in der Seniorenwohnanlage</w:t>
      </w:r>
    </w:p>
    <w:p w:rsidR="00181209" w:rsidRPr="00181209" w:rsidRDefault="00181209" w:rsidP="00181209">
      <w:pPr>
        <w:rPr>
          <w:rFonts w:ascii="Fira Sans Condensed Light" w:hAnsi="Fira Sans Condensed Light"/>
          <w:b/>
          <w:sz w:val="24"/>
          <w:szCs w:val="24"/>
        </w:rPr>
      </w:pPr>
      <w:r w:rsidRPr="00181209">
        <w:rPr>
          <w:rFonts w:ascii="Fira Sans Condensed Light" w:hAnsi="Fira Sans Condensed Light"/>
          <w:b/>
          <w:sz w:val="24"/>
          <w:szCs w:val="24"/>
        </w:rPr>
        <w:t>Würzburger Str. 60</w:t>
      </w:r>
    </w:p>
    <w:p w:rsidR="00181209" w:rsidRPr="00181209" w:rsidRDefault="00181209" w:rsidP="00181209">
      <w:pPr>
        <w:rPr>
          <w:rFonts w:ascii="Fira Sans Condensed Light" w:hAnsi="Fira Sans Condensed Light"/>
          <w:b/>
          <w:sz w:val="24"/>
          <w:szCs w:val="24"/>
        </w:rPr>
      </w:pPr>
    </w:p>
    <w:p w:rsidR="00181209" w:rsidRPr="00181209" w:rsidRDefault="00181209" w:rsidP="00181209">
      <w:pPr>
        <w:rPr>
          <w:rFonts w:ascii="Fira Sans Condensed Light" w:hAnsi="Fira Sans Condensed Light"/>
          <w:b/>
          <w:sz w:val="24"/>
          <w:szCs w:val="24"/>
        </w:rPr>
      </w:pPr>
    </w:p>
    <w:p w:rsidR="00181209" w:rsidRPr="00181209" w:rsidRDefault="00181209" w:rsidP="00181209">
      <w:pPr>
        <w:rPr>
          <w:rFonts w:ascii="Fira Sans Condensed Light" w:hAnsi="Fira Sans Condensed Light"/>
          <w:sz w:val="24"/>
          <w:szCs w:val="24"/>
        </w:rPr>
      </w:pPr>
      <w:r w:rsidRPr="00181209">
        <w:rPr>
          <w:rFonts w:ascii="Fira Sans Condensed Light" w:hAnsi="Fira Sans Condensed Light"/>
          <w:sz w:val="24"/>
          <w:szCs w:val="24"/>
          <w:u w:val="single"/>
        </w:rPr>
        <w:t>Mietberechtigte:</w:t>
      </w:r>
    </w:p>
    <w:p w:rsidR="00181209" w:rsidRPr="00181209" w:rsidRDefault="00181209" w:rsidP="00181209">
      <w:pPr>
        <w:pStyle w:val="Listenabsatz"/>
        <w:ind w:left="0"/>
        <w:rPr>
          <w:rFonts w:ascii="Fira Sans Condensed Light" w:hAnsi="Fira Sans Condensed Light"/>
          <w:sz w:val="24"/>
          <w:szCs w:val="24"/>
        </w:rPr>
      </w:pPr>
    </w:p>
    <w:p w:rsidR="00181209" w:rsidRPr="00181209" w:rsidRDefault="00181209" w:rsidP="00181209">
      <w:pPr>
        <w:rPr>
          <w:rFonts w:ascii="Fira Sans Condensed Light" w:hAnsi="Fira Sans Condensed Light"/>
          <w:sz w:val="24"/>
          <w:szCs w:val="24"/>
        </w:rPr>
      </w:pPr>
      <w:r w:rsidRPr="00181209">
        <w:rPr>
          <w:rFonts w:ascii="Fira Sans Condensed Light" w:hAnsi="Fira Sans Condensed Light"/>
          <w:sz w:val="24"/>
          <w:szCs w:val="24"/>
        </w:rPr>
        <w:t>Laut Nr. 5.1 Bewilligungsbescheid bestehen Belegungsbindungen nach Maßgabe der Nrn. 9 und 11 des Kommunalen Wohnraumförderungsprogramms. Bei der Auswahl der berechtigten Haushalte soll sich die Gemeinde an den Einkommensgrenzen nach Art. 11 des Bayerischen Wohnraumförderungsgesetzes (</w:t>
      </w:r>
      <w:proofErr w:type="spellStart"/>
      <w:r w:rsidRPr="00181209">
        <w:rPr>
          <w:rFonts w:ascii="Fira Sans Condensed Light" w:hAnsi="Fira Sans Condensed Light"/>
          <w:sz w:val="24"/>
          <w:szCs w:val="24"/>
        </w:rPr>
        <w:t>BayWoFG</w:t>
      </w:r>
      <w:proofErr w:type="spellEnd"/>
      <w:r w:rsidRPr="00181209">
        <w:rPr>
          <w:rFonts w:ascii="Fira Sans Condensed Light" w:hAnsi="Fira Sans Condensed Light"/>
          <w:sz w:val="24"/>
          <w:szCs w:val="24"/>
        </w:rPr>
        <w:t xml:space="preserve">) orientieren. </w:t>
      </w:r>
    </w:p>
    <w:p w:rsidR="00181209" w:rsidRPr="00181209" w:rsidRDefault="00181209" w:rsidP="00181209">
      <w:pPr>
        <w:rPr>
          <w:rFonts w:ascii="Fira Sans Condensed Light" w:hAnsi="Fira Sans Condensed Light"/>
          <w:sz w:val="24"/>
          <w:szCs w:val="24"/>
        </w:rPr>
      </w:pPr>
      <w:bookmarkStart w:id="0" w:name="_GoBack"/>
    </w:p>
    <w:bookmarkEnd w:id="0"/>
    <w:p w:rsidR="00181209" w:rsidRPr="00181209" w:rsidRDefault="00181209" w:rsidP="00181209">
      <w:pPr>
        <w:rPr>
          <w:rFonts w:ascii="Fira Sans Condensed Light" w:hAnsi="Fira Sans Condensed Light"/>
          <w:sz w:val="24"/>
          <w:szCs w:val="24"/>
        </w:rPr>
      </w:pPr>
      <w:r w:rsidRPr="00181209">
        <w:rPr>
          <w:rFonts w:ascii="Fira Sans Condensed Light" w:hAnsi="Fira Sans Condensed Light"/>
          <w:sz w:val="24"/>
          <w:szCs w:val="24"/>
        </w:rPr>
        <w:t xml:space="preserve">Die Einkommensgrenzen betragen gem. Art. 11 </w:t>
      </w:r>
      <w:proofErr w:type="spellStart"/>
      <w:r w:rsidRPr="00181209">
        <w:rPr>
          <w:rFonts w:ascii="Fira Sans Condensed Light" w:hAnsi="Fira Sans Condensed Light"/>
          <w:sz w:val="24"/>
          <w:szCs w:val="24"/>
        </w:rPr>
        <w:t>BayWoFG</w:t>
      </w:r>
      <w:proofErr w:type="spellEnd"/>
    </w:p>
    <w:p w:rsidR="00181209" w:rsidRPr="00181209" w:rsidRDefault="00181209" w:rsidP="00181209">
      <w:pPr>
        <w:pStyle w:val="Listenabsatz"/>
        <w:widowControl/>
        <w:numPr>
          <w:ilvl w:val="0"/>
          <w:numId w:val="2"/>
        </w:numPr>
        <w:autoSpaceDE/>
        <w:autoSpaceDN/>
        <w:spacing w:line="259" w:lineRule="auto"/>
        <w:ind w:right="0"/>
        <w:contextualSpacing/>
        <w:rPr>
          <w:rFonts w:ascii="Fira Sans Condensed Light" w:hAnsi="Fira Sans Condensed Light"/>
          <w:sz w:val="24"/>
          <w:szCs w:val="24"/>
        </w:rPr>
      </w:pPr>
      <w:r w:rsidRPr="00181209">
        <w:rPr>
          <w:rFonts w:ascii="Fira Sans Condensed Light" w:hAnsi="Fira Sans Condensed Light"/>
          <w:sz w:val="24"/>
          <w:szCs w:val="24"/>
        </w:rPr>
        <w:t>für einen Einpersonenhaushalt</w:t>
      </w:r>
      <w:r w:rsidRPr="00181209">
        <w:rPr>
          <w:rFonts w:ascii="Fira Sans Condensed Light" w:hAnsi="Fira Sans Condensed Light"/>
          <w:sz w:val="24"/>
          <w:szCs w:val="24"/>
        </w:rPr>
        <w:tab/>
      </w:r>
      <w:r w:rsidRPr="00181209">
        <w:rPr>
          <w:rFonts w:ascii="Fira Sans Condensed Light" w:hAnsi="Fira Sans Condensed Light"/>
          <w:sz w:val="24"/>
          <w:szCs w:val="24"/>
        </w:rPr>
        <w:tab/>
      </w:r>
      <w:r w:rsidRPr="00181209">
        <w:rPr>
          <w:rFonts w:ascii="Fira Sans Condensed Light" w:hAnsi="Fira Sans Condensed Light"/>
          <w:sz w:val="24"/>
          <w:szCs w:val="24"/>
        </w:rPr>
        <w:tab/>
        <w:t>28.300 EUR</w:t>
      </w:r>
    </w:p>
    <w:p w:rsidR="00181209" w:rsidRPr="00181209" w:rsidRDefault="00181209" w:rsidP="00181209">
      <w:pPr>
        <w:pStyle w:val="Listenabsatz"/>
        <w:widowControl/>
        <w:numPr>
          <w:ilvl w:val="0"/>
          <w:numId w:val="2"/>
        </w:numPr>
        <w:autoSpaceDE/>
        <w:autoSpaceDN/>
        <w:spacing w:line="259" w:lineRule="auto"/>
        <w:ind w:right="0"/>
        <w:contextualSpacing/>
        <w:rPr>
          <w:rFonts w:ascii="Fira Sans Condensed Light" w:hAnsi="Fira Sans Condensed Light"/>
          <w:sz w:val="24"/>
          <w:szCs w:val="24"/>
        </w:rPr>
      </w:pPr>
      <w:r w:rsidRPr="00181209">
        <w:rPr>
          <w:rFonts w:ascii="Fira Sans Condensed Light" w:hAnsi="Fira Sans Condensed Light"/>
          <w:sz w:val="24"/>
          <w:szCs w:val="24"/>
        </w:rPr>
        <w:t>für einen Zweipersonenhaushalt</w:t>
      </w:r>
      <w:r w:rsidRPr="00181209">
        <w:rPr>
          <w:rFonts w:ascii="Fira Sans Condensed Light" w:hAnsi="Fira Sans Condensed Light"/>
          <w:sz w:val="24"/>
          <w:szCs w:val="24"/>
        </w:rPr>
        <w:tab/>
      </w:r>
      <w:r>
        <w:rPr>
          <w:rFonts w:ascii="Fira Sans Condensed Light" w:hAnsi="Fira Sans Condensed Light"/>
          <w:sz w:val="24"/>
          <w:szCs w:val="24"/>
        </w:rPr>
        <w:tab/>
      </w:r>
      <w:r w:rsidRPr="00181209">
        <w:rPr>
          <w:rFonts w:ascii="Fira Sans Condensed Light" w:hAnsi="Fira Sans Condensed Light"/>
          <w:sz w:val="24"/>
          <w:szCs w:val="24"/>
        </w:rPr>
        <w:tab/>
        <w:t>43.200 EUR</w:t>
      </w:r>
    </w:p>
    <w:p w:rsidR="00181209" w:rsidRPr="00181209" w:rsidRDefault="00181209" w:rsidP="00181209">
      <w:pPr>
        <w:rPr>
          <w:rFonts w:ascii="Fira Sans Condensed Light" w:hAnsi="Fira Sans Condensed Light"/>
          <w:sz w:val="24"/>
          <w:szCs w:val="24"/>
        </w:rPr>
      </w:pPr>
      <w:r w:rsidRPr="00181209">
        <w:rPr>
          <w:rFonts w:ascii="Fira Sans Condensed Light" w:hAnsi="Fira Sans Condensed Light"/>
          <w:sz w:val="24"/>
          <w:szCs w:val="24"/>
        </w:rPr>
        <w:t>Das jährliche Bruttoeinkommen der zu berücksichtigenden Haushaltsmitglieder ist nachzuweisen</w:t>
      </w:r>
    </w:p>
    <w:p w:rsidR="00181209" w:rsidRPr="00181209" w:rsidRDefault="00181209" w:rsidP="00181209">
      <w:pPr>
        <w:rPr>
          <w:rFonts w:ascii="Fira Sans Condensed Light" w:hAnsi="Fira Sans Condensed Light"/>
          <w:sz w:val="24"/>
          <w:szCs w:val="24"/>
        </w:rPr>
      </w:pPr>
      <w:r w:rsidRPr="00181209">
        <w:rPr>
          <w:rFonts w:ascii="Fira Sans Condensed Light" w:hAnsi="Fira Sans Condensed Light"/>
          <w:sz w:val="24"/>
          <w:szCs w:val="24"/>
        </w:rPr>
        <w:t>(z. B. durch Verdienstbescheinigung, Rentenbescheid, Einkommensteuerbescheid).</w:t>
      </w:r>
    </w:p>
    <w:p w:rsidR="00181209" w:rsidRPr="00181209" w:rsidRDefault="00181209" w:rsidP="00181209">
      <w:pPr>
        <w:rPr>
          <w:rFonts w:ascii="Fira Sans Condensed Light" w:hAnsi="Fira Sans Condensed Light"/>
          <w:sz w:val="24"/>
          <w:szCs w:val="24"/>
        </w:rPr>
      </w:pPr>
    </w:p>
    <w:p w:rsidR="00181209" w:rsidRPr="00181209" w:rsidRDefault="00181209" w:rsidP="00181209">
      <w:pPr>
        <w:rPr>
          <w:rFonts w:ascii="Fira Sans Condensed Light" w:hAnsi="Fira Sans Condensed Light"/>
          <w:sz w:val="24"/>
          <w:szCs w:val="24"/>
        </w:rPr>
      </w:pPr>
      <w:r w:rsidRPr="00181209">
        <w:rPr>
          <w:rFonts w:ascii="Fira Sans Condensed Light" w:hAnsi="Fira Sans Condensed Light"/>
          <w:sz w:val="24"/>
          <w:szCs w:val="24"/>
        </w:rPr>
        <w:t>Weiterhin sollen die Wohnungen nur an Personen vermietet werden, die</w:t>
      </w:r>
    </w:p>
    <w:p w:rsidR="00181209" w:rsidRPr="00181209" w:rsidRDefault="00181209" w:rsidP="00181209">
      <w:pPr>
        <w:rPr>
          <w:rFonts w:ascii="Fira Sans Condensed Light" w:hAnsi="Fira Sans Condensed Light"/>
          <w:b/>
          <w:sz w:val="24"/>
          <w:szCs w:val="24"/>
        </w:rPr>
      </w:pPr>
      <w:r w:rsidRPr="00181209">
        <w:rPr>
          <w:rFonts w:ascii="Fira Sans Condensed Light" w:hAnsi="Fira Sans Condensed Light"/>
          <w:b/>
          <w:sz w:val="24"/>
          <w:szCs w:val="24"/>
        </w:rPr>
        <w:t>1. das 60. Lebensjahr vollendet haben oder</w:t>
      </w:r>
    </w:p>
    <w:p w:rsidR="00181209" w:rsidRPr="00181209" w:rsidRDefault="00181209" w:rsidP="00181209">
      <w:pPr>
        <w:rPr>
          <w:rFonts w:ascii="Fira Sans Condensed Light" w:hAnsi="Fira Sans Condensed Light"/>
          <w:b/>
          <w:sz w:val="24"/>
          <w:szCs w:val="24"/>
        </w:rPr>
      </w:pPr>
      <w:r w:rsidRPr="00181209">
        <w:rPr>
          <w:rFonts w:ascii="Fira Sans Condensed Light" w:hAnsi="Fira Sans Condensed Light"/>
          <w:b/>
          <w:sz w:val="24"/>
          <w:szCs w:val="24"/>
        </w:rPr>
        <w:t>2. pflegebedürftig im Sinne des SGB XI sind oder</w:t>
      </w:r>
    </w:p>
    <w:p w:rsidR="00181209" w:rsidRPr="00181209" w:rsidRDefault="00181209" w:rsidP="00181209">
      <w:pPr>
        <w:rPr>
          <w:rFonts w:ascii="Fira Sans Condensed Light" w:hAnsi="Fira Sans Condensed Light"/>
          <w:b/>
          <w:sz w:val="24"/>
          <w:szCs w:val="24"/>
        </w:rPr>
      </w:pPr>
      <w:r w:rsidRPr="00181209">
        <w:rPr>
          <w:rFonts w:ascii="Fira Sans Condensed Light" w:hAnsi="Fira Sans Condensed Light"/>
          <w:b/>
          <w:sz w:val="24"/>
          <w:szCs w:val="24"/>
        </w:rPr>
        <w:t>3. zu mindestens 50% schwerbehindert sind.</w:t>
      </w:r>
    </w:p>
    <w:p w:rsidR="00181209" w:rsidRPr="00181209" w:rsidRDefault="00181209" w:rsidP="00181209">
      <w:pPr>
        <w:rPr>
          <w:rFonts w:ascii="Fira Sans Condensed Light" w:hAnsi="Fira Sans Condensed Light"/>
          <w:sz w:val="24"/>
          <w:szCs w:val="24"/>
        </w:rPr>
      </w:pPr>
      <w:r w:rsidRPr="00181209">
        <w:rPr>
          <w:rFonts w:ascii="Fira Sans Condensed Light" w:hAnsi="Fira Sans Condensed Light"/>
          <w:sz w:val="24"/>
          <w:szCs w:val="24"/>
        </w:rPr>
        <w:t>Hierüber ist ein entsprechender Nachweis vorzulegen.</w:t>
      </w:r>
    </w:p>
    <w:p w:rsidR="00181209" w:rsidRPr="00181209" w:rsidRDefault="00181209" w:rsidP="00181209">
      <w:pPr>
        <w:rPr>
          <w:rFonts w:ascii="Fira Sans Condensed Light" w:hAnsi="Fira Sans Condensed Light"/>
          <w:sz w:val="24"/>
          <w:szCs w:val="24"/>
        </w:rPr>
      </w:pPr>
      <w:r w:rsidRPr="00181209">
        <w:rPr>
          <w:rFonts w:ascii="Fira Sans Condensed Light" w:hAnsi="Fira Sans Condensed Light"/>
          <w:sz w:val="24"/>
          <w:szCs w:val="24"/>
        </w:rPr>
        <w:t>Bei mehreren Bewohnern einer Wohnung ist es ausreichend, wenn ein Bewohner eine der drei vorgenannten Voraussetzungen erfüllt.</w:t>
      </w:r>
    </w:p>
    <w:p w:rsidR="00181209" w:rsidRPr="00181209" w:rsidRDefault="00181209" w:rsidP="00992638">
      <w:pPr>
        <w:tabs>
          <w:tab w:val="left" w:pos="530"/>
        </w:tabs>
        <w:spacing w:line="237" w:lineRule="auto"/>
        <w:rPr>
          <w:sz w:val="24"/>
          <w:szCs w:val="24"/>
        </w:rPr>
      </w:pPr>
    </w:p>
    <w:sectPr w:rsidR="00181209" w:rsidRPr="00181209">
      <w:pgSz w:w="11910" w:h="16850"/>
      <w:pgMar w:top="40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Condensed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4AE9"/>
    <w:multiLevelType w:val="hybridMultilevel"/>
    <w:tmpl w:val="3B1E406A"/>
    <w:lvl w:ilvl="0" w:tplc="8694427C">
      <w:numFmt w:val="bullet"/>
      <w:lvlText w:val=""/>
      <w:lvlJc w:val="left"/>
      <w:pPr>
        <w:ind w:left="530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94035CA">
      <w:numFmt w:val="bullet"/>
      <w:lvlText w:val="•"/>
      <w:lvlJc w:val="left"/>
      <w:pPr>
        <w:ind w:left="1498" w:hanging="359"/>
      </w:pPr>
      <w:rPr>
        <w:rFonts w:hint="default"/>
        <w:lang w:val="de-DE" w:eastAsia="en-US" w:bidi="ar-SA"/>
      </w:rPr>
    </w:lvl>
    <w:lvl w:ilvl="2" w:tplc="17BCDF8E">
      <w:numFmt w:val="bullet"/>
      <w:lvlText w:val="•"/>
      <w:lvlJc w:val="left"/>
      <w:pPr>
        <w:ind w:left="2457" w:hanging="359"/>
      </w:pPr>
      <w:rPr>
        <w:rFonts w:hint="default"/>
        <w:lang w:val="de-DE" w:eastAsia="en-US" w:bidi="ar-SA"/>
      </w:rPr>
    </w:lvl>
    <w:lvl w:ilvl="3" w:tplc="0E2AA13C">
      <w:numFmt w:val="bullet"/>
      <w:lvlText w:val="•"/>
      <w:lvlJc w:val="left"/>
      <w:pPr>
        <w:ind w:left="3415" w:hanging="359"/>
      </w:pPr>
      <w:rPr>
        <w:rFonts w:hint="default"/>
        <w:lang w:val="de-DE" w:eastAsia="en-US" w:bidi="ar-SA"/>
      </w:rPr>
    </w:lvl>
    <w:lvl w:ilvl="4" w:tplc="E7DC767C">
      <w:numFmt w:val="bullet"/>
      <w:lvlText w:val="•"/>
      <w:lvlJc w:val="left"/>
      <w:pPr>
        <w:ind w:left="4374" w:hanging="359"/>
      </w:pPr>
      <w:rPr>
        <w:rFonts w:hint="default"/>
        <w:lang w:val="de-DE" w:eastAsia="en-US" w:bidi="ar-SA"/>
      </w:rPr>
    </w:lvl>
    <w:lvl w:ilvl="5" w:tplc="09AEBD14">
      <w:numFmt w:val="bullet"/>
      <w:lvlText w:val="•"/>
      <w:lvlJc w:val="left"/>
      <w:pPr>
        <w:ind w:left="5333" w:hanging="359"/>
      </w:pPr>
      <w:rPr>
        <w:rFonts w:hint="default"/>
        <w:lang w:val="de-DE" w:eastAsia="en-US" w:bidi="ar-SA"/>
      </w:rPr>
    </w:lvl>
    <w:lvl w:ilvl="6" w:tplc="2462281A">
      <w:numFmt w:val="bullet"/>
      <w:lvlText w:val="•"/>
      <w:lvlJc w:val="left"/>
      <w:pPr>
        <w:ind w:left="6291" w:hanging="359"/>
      </w:pPr>
      <w:rPr>
        <w:rFonts w:hint="default"/>
        <w:lang w:val="de-DE" w:eastAsia="en-US" w:bidi="ar-SA"/>
      </w:rPr>
    </w:lvl>
    <w:lvl w:ilvl="7" w:tplc="D92AE3EE">
      <w:numFmt w:val="bullet"/>
      <w:lvlText w:val="•"/>
      <w:lvlJc w:val="left"/>
      <w:pPr>
        <w:ind w:left="7250" w:hanging="359"/>
      </w:pPr>
      <w:rPr>
        <w:rFonts w:hint="default"/>
        <w:lang w:val="de-DE" w:eastAsia="en-US" w:bidi="ar-SA"/>
      </w:rPr>
    </w:lvl>
    <w:lvl w:ilvl="8" w:tplc="B17E9ADA">
      <w:numFmt w:val="bullet"/>
      <w:lvlText w:val="•"/>
      <w:lvlJc w:val="left"/>
      <w:pPr>
        <w:ind w:left="8209" w:hanging="359"/>
      </w:pPr>
      <w:rPr>
        <w:rFonts w:hint="default"/>
        <w:lang w:val="de-DE" w:eastAsia="en-US" w:bidi="ar-SA"/>
      </w:rPr>
    </w:lvl>
  </w:abstractNum>
  <w:abstractNum w:abstractNumId="1" w15:restartNumberingAfterBreak="0">
    <w:nsid w:val="6DDA1B5F"/>
    <w:multiLevelType w:val="hybridMultilevel"/>
    <w:tmpl w:val="4670B91A"/>
    <w:lvl w:ilvl="0" w:tplc="779641F2">
      <w:start w:val="12"/>
      <w:numFmt w:val="bullet"/>
      <w:lvlText w:val="-"/>
      <w:lvlJc w:val="left"/>
      <w:pPr>
        <w:ind w:left="720" w:hanging="360"/>
      </w:pPr>
      <w:rPr>
        <w:rFonts w:ascii="Fira Sans Condensed Light" w:eastAsiaTheme="minorHAnsi" w:hAnsi="Fira Sans Condensed Light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C6"/>
    <w:rsid w:val="00181209"/>
    <w:rsid w:val="004E2603"/>
    <w:rsid w:val="006931AB"/>
    <w:rsid w:val="006D17DE"/>
    <w:rsid w:val="0080466C"/>
    <w:rsid w:val="008379EC"/>
    <w:rsid w:val="00895938"/>
    <w:rsid w:val="008F54E9"/>
    <w:rsid w:val="00992638"/>
    <w:rsid w:val="00D63FFE"/>
    <w:rsid w:val="00E00005"/>
    <w:rsid w:val="00E9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48CAD-6CCC-4687-BFAA-EF2BC87A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left="172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172" w:hanging="10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"/>
    <w:qFormat/>
    <w:pPr>
      <w:spacing w:before="283"/>
      <w:ind w:left="172"/>
    </w:pPr>
    <w:rPr>
      <w:b/>
      <w:bCs/>
      <w:sz w:val="48"/>
      <w:szCs w:val="48"/>
    </w:rPr>
  </w:style>
  <w:style w:type="paragraph" w:styleId="Listenabsatz">
    <w:name w:val="List Paragraph"/>
    <w:basedOn w:val="Standard"/>
    <w:uiPriority w:val="34"/>
    <w:qFormat/>
    <w:pPr>
      <w:ind w:left="530" w:right="1253" w:hanging="359"/>
    </w:pPr>
  </w:style>
  <w:style w:type="paragraph" w:customStyle="1" w:styleId="TableParagraph">
    <w:name w:val="Table Paragraph"/>
    <w:basedOn w:val="Standard"/>
    <w:uiPriority w:val="1"/>
    <w:qFormat/>
    <w:pPr>
      <w:spacing w:before="55"/>
      <w:ind w:left="6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3F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3FFE"/>
    <w:rPr>
      <w:rFonts w:ascii="Segoe UI" w:eastAsia="Arial" w:hAnsi="Segoe UI" w:cs="Segoe UI"/>
      <w:sz w:val="18"/>
      <w:szCs w:val="18"/>
      <w:lang w:val="de-DE"/>
    </w:rPr>
  </w:style>
  <w:style w:type="character" w:styleId="Hyperlink">
    <w:name w:val="Hyperlink"/>
    <w:basedOn w:val="Absatz-Standardschriftart"/>
    <w:uiPriority w:val="99"/>
    <w:unhideWhenUsed/>
    <w:rsid w:val="00804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Altenheim St. Hedwig, Veitshöchheim</dc:creator>
  <cp:lastModifiedBy>Heller, Claudia</cp:lastModifiedBy>
  <cp:revision>9</cp:revision>
  <cp:lastPrinted>2024-04-22T09:57:00Z</cp:lastPrinted>
  <dcterms:created xsi:type="dcterms:W3CDTF">2024-04-22T09:42:00Z</dcterms:created>
  <dcterms:modified xsi:type="dcterms:W3CDTF">2024-05-31T08:16:00Z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2024-04-22T00:00:00Z</vt:filetime>
  </property>
  <property fmtid="{D5CDD505-2E9C-101B-9397-08002B2CF9AE}" pid="5" name="Producer">
    <vt:lpwstr>Microsoft® Word für Microsoft 365</vt:lpwstr>
  </property>
</Properties>
</file>